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DC74E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DC74E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DC74E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D92698">
        <w:rPr>
          <w:rFonts w:ascii="Tahoma" w:hAnsi="Tahoma" w:cs="Tahoma"/>
          <w:b/>
          <w:sz w:val="24"/>
          <w:szCs w:val="24"/>
        </w:rPr>
        <w:t>89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DC74EB">
        <w:rPr>
          <w:rFonts w:ascii="Tahoma" w:hAnsi="Tahoma" w:cs="Tahoma"/>
          <w:b/>
          <w:sz w:val="24"/>
          <w:szCs w:val="24"/>
        </w:rPr>
        <w:t>25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48259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D92698">
        <w:rPr>
          <w:rFonts w:ascii="Tahoma" w:hAnsi="Tahoma" w:cs="Tahoma"/>
          <w:sz w:val="24"/>
          <w:szCs w:val="24"/>
        </w:rPr>
        <w:t>89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7F390C">
        <w:rPr>
          <w:rFonts w:ascii="Tahoma" w:hAnsi="Tahoma" w:cs="Tahoma"/>
          <w:sz w:val="24"/>
          <w:szCs w:val="24"/>
        </w:rPr>
        <w:t>1767/2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8259D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F390C">
        <w:rPr>
          <w:rFonts w:ascii="Tahoma" w:hAnsi="Tahoma" w:cs="Tahoma"/>
          <w:sz w:val="24"/>
          <w:szCs w:val="24"/>
        </w:rPr>
        <w:t>1767/1</w:t>
      </w:r>
      <w:r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48259D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se </w:t>
      </w:r>
      <w:r w:rsidR="002126EF">
        <w:rPr>
          <w:rFonts w:ascii="Tahoma" w:hAnsi="Tahoma" w:cs="Tahoma"/>
          <w:sz w:val="24"/>
          <w:szCs w:val="24"/>
        </w:rPr>
        <w:t xml:space="preserve"> dostavi </w:t>
      </w:r>
      <w:r w:rsidR="00BA0BCC">
        <w:rPr>
          <w:rFonts w:ascii="Tahoma" w:hAnsi="Tahoma" w:cs="Tahoma"/>
          <w:sz w:val="24"/>
          <w:szCs w:val="24"/>
        </w:rPr>
        <w:t xml:space="preserve"> informacija shodno Opštem Zakonu o obrazovanju i vaspitanju CG o obimu preostalog radnog vremena</w:t>
      </w:r>
      <w:r w:rsidRPr="002B44A6">
        <w:rPr>
          <w:rFonts w:ascii="Tahoma" w:hAnsi="Tahoma" w:cs="Tahoma"/>
          <w:sz w:val="24"/>
          <w:szCs w:val="24"/>
        </w:rPr>
        <w:t>,</w:t>
      </w:r>
      <w:r w:rsidR="00BA0BCC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</w:t>
      </w:r>
      <w:r w:rsidR="00857C27">
        <w:rPr>
          <w:rFonts w:ascii="Tahoma" w:hAnsi="Tahoma" w:cs="Tahoma"/>
          <w:sz w:val="24"/>
          <w:szCs w:val="24"/>
        </w:rPr>
        <w:t xml:space="preserve">nog vremena za </w:t>
      </w:r>
      <w:r w:rsidR="007F390C">
        <w:rPr>
          <w:rFonts w:ascii="Tahoma" w:hAnsi="Tahoma" w:cs="Tahoma"/>
          <w:sz w:val="24"/>
          <w:szCs w:val="24"/>
        </w:rPr>
        <w:t>februar</w:t>
      </w:r>
      <w:r w:rsidR="00BA0BCC">
        <w:rPr>
          <w:rFonts w:ascii="Tahoma" w:hAnsi="Tahoma" w:cs="Tahoma"/>
          <w:sz w:val="24"/>
          <w:szCs w:val="24"/>
        </w:rPr>
        <w:t xml:space="preserve"> 2011.godine,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48259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F390C">
        <w:rPr>
          <w:rFonts w:ascii="Tahoma" w:hAnsi="Tahoma" w:cs="Tahoma"/>
          <w:sz w:val="24"/>
          <w:szCs w:val="24"/>
        </w:rPr>
        <w:t>1767/1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6B3340">
        <w:rPr>
          <w:rFonts w:ascii="Tahoma" w:hAnsi="Tahoma" w:cs="Tahoma"/>
          <w:sz w:val="24"/>
          <w:szCs w:val="24"/>
        </w:rPr>
        <w:t>. godine, kojim traži da mu</w:t>
      </w:r>
      <w:r w:rsidR="00BA0BCC">
        <w:rPr>
          <w:rFonts w:ascii="Tahoma" w:hAnsi="Tahoma" w:cs="Tahoma"/>
          <w:sz w:val="24"/>
          <w:szCs w:val="24"/>
        </w:rPr>
        <w:t>se  dostavi  informacija shodno Opštem Zakonu o obrazovanju i vaspitanju CG o obimu preostalog radnog vremena</w:t>
      </w:r>
      <w:r w:rsidR="00BA0BCC" w:rsidRPr="002B44A6">
        <w:rPr>
          <w:rFonts w:ascii="Tahoma" w:hAnsi="Tahoma" w:cs="Tahoma"/>
          <w:sz w:val="24"/>
          <w:szCs w:val="24"/>
        </w:rPr>
        <w:t>,</w:t>
      </w:r>
      <w:r w:rsidR="00BA0BCC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radnog vremena za </w:t>
      </w:r>
      <w:r w:rsidR="007F390C">
        <w:rPr>
          <w:rFonts w:ascii="Tahoma" w:hAnsi="Tahoma" w:cs="Tahoma"/>
          <w:sz w:val="24"/>
          <w:szCs w:val="24"/>
        </w:rPr>
        <w:t>februar</w:t>
      </w:r>
      <w:r w:rsidR="00BA0BCC">
        <w:rPr>
          <w:rFonts w:ascii="Tahoma" w:hAnsi="Tahoma" w:cs="Tahoma"/>
          <w:sz w:val="24"/>
          <w:szCs w:val="24"/>
        </w:rPr>
        <w:t xml:space="preserve"> 2011.godine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48259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067F6A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48259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48259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48259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48259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48259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48259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48259D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48259D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</w:t>
      </w:r>
      <w:r>
        <w:rPr>
          <w:rFonts w:ascii="Tahoma" w:hAnsi="Tahoma" w:cs="Tahoma"/>
          <w:sz w:val="24"/>
          <w:szCs w:val="24"/>
        </w:rPr>
        <w:lastRenderedPageBreak/>
        <w:t xml:space="preserve">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 w:rsidR="00641259">
        <w:rPr>
          <w:rFonts w:ascii="Tahoma" w:hAnsi="Tahoma" w:cs="Tahoma"/>
          <w:sz w:val="24"/>
          <w:szCs w:val="24"/>
        </w:rPr>
        <w:t>odbija. Takođe</w:t>
      </w:r>
      <w:r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F390C">
        <w:rPr>
          <w:rFonts w:ascii="Tahoma" w:hAnsi="Tahoma" w:cs="Tahoma"/>
          <w:sz w:val="24"/>
          <w:szCs w:val="24"/>
        </w:rPr>
        <w:t>1767/1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 je tražio od JU SMŠ“Mladost“ Tivat da shodno Zakonu o slobodnom pristupu informacijama CG žaliocu dostavi</w:t>
      </w:r>
      <w:r w:rsidR="00BA0BCC">
        <w:rPr>
          <w:rFonts w:ascii="Tahoma" w:hAnsi="Tahoma" w:cs="Tahoma"/>
          <w:sz w:val="24"/>
          <w:szCs w:val="24"/>
        </w:rPr>
        <w:t xml:space="preserve"> informaciju shodno Opštem Zakonu o obrazovanju i vaspitanju CG o obimu preostalog radnog vremena</w:t>
      </w:r>
      <w:r w:rsidR="00BA0BCC" w:rsidRPr="002B44A6">
        <w:rPr>
          <w:rFonts w:ascii="Tahoma" w:hAnsi="Tahoma" w:cs="Tahoma"/>
          <w:sz w:val="24"/>
          <w:szCs w:val="24"/>
        </w:rPr>
        <w:t>,</w:t>
      </w:r>
      <w:r w:rsidR="00BA0BCC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radnog vremena za </w:t>
      </w:r>
      <w:r w:rsidR="007F390C">
        <w:rPr>
          <w:rFonts w:ascii="Tahoma" w:hAnsi="Tahoma" w:cs="Tahoma"/>
          <w:sz w:val="24"/>
          <w:szCs w:val="24"/>
        </w:rPr>
        <w:t>februar</w:t>
      </w:r>
      <w:r w:rsidR="00BA0BCC">
        <w:rPr>
          <w:rFonts w:ascii="Tahoma" w:hAnsi="Tahoma" w:cs="Tahoma"/>
          <w:sz w:val="24"/>
          <w:szCs w:val="24"/>
        </w:rPr>
        <w:t xml:space="preserve"> 2011.godine</w:t>
      </w:r>
      <w:r w:rsidRPr="008B6EAE">
        <w:rPr>
          <w:rFonts w:ascii="Tahoma" w:hAnsi="Tahoma" w:cs="Tahoma"/>
          <w:sz w:val="24"/>
          <w:szCs w:val="24"/>
        </w:rPr>
        <w:t>.</w:t>
      </w:r>
      <w:proofErr w:type="gramEnd"/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7F390C">
        <w:rPr>
          <w:rFonts w:ascii="Tahoma" w:hAnsi="Tahoma" w:cs="Tahoma"/>
          <w:sz w:val="24"/>
          <w:szCs w:val="24"/>
        </w:rPr>
        <w:t>1767/2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F390C">
        <w:rPr>
          <w:rFonts w:ascii="Tahoma" w:hAnsi="Tahoma" w:cs="Tahoma"/>
          <w:sz w:val="24"/>
          <w:szCs w:val="24"/>
        </w:rPr>
        <w:t>1767/1</w:t>
      </w:r>
      <w:r>
        <w:rPr>
          <w:rFonts w:ascii="Tahoma" w:hAnsi="Tahoma" w:cs="Tahoma"/>
          <w:sz w:val="24"/>
          <w:szCs w:val="24"/>
        </w:rPr>
        <w:t xml:space="preserve"> 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641259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7F390C">
        <w:rPr>
          <w:rFonts w:ascii="Tahoma" w:hAnsi="Tahoma" w:cs="Tahoma"/>
          <w:sz w:val="24"/>
          <w:szCs w:val="24"/>
        </w:rPr>
        <w:t>1767/2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7F390C">
        <w:rPr>
          <w:rFonts w:ascii="Tahoma" w:hAnsi="Tahoma" w:cs="Tahoma"/>
          <w:sz w:val="24"/>
          <w:szCs w:val="24"/>
        </w:rPr>
        <w:t>1767/1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 xml:space="preserve">Tužilac naročito navodi , te prikazuje da </w:t>
      </w:r>
      <w:r w:rsidR="005F24BB">
        <w:rPr>
          <w:rFonts w:ascii="Tahoma" w:hAnsi="Tahoma" w:cs="Tahoma"/>
          <w:szCs w:val="24"/>
        </w:rPr>
        <w:t xml:space="preserve">JU SMŠ </w:t>
      </w:r>
      <w:r w:rsidR="005F24BB">
        <w:rPr>
          <w:rFonts w:ascii="Tahoma" w:hAnsi="Tahoma" w:cs="Tahoma"/>
          <w:sz w:val="24"/>
          <w:szCs w:val="24"/>
        </w:rPr>
        <w:t xml:space="preserve">“Mladost“ Tivat nije (shodno Zakonu o radu CG ) donijela odluku o rasporedu radnog vremena za žalioca , te odluku o uvođenju rada dužeg od punog radnog vremena , iako je žalilac mnogo puta tražio od JU SMŠ “Mladost“ Tivat . Neophodno je navesti ,te prikazati da JU SMŠ “Mladost“ Tivat nije žaliocu platila poslove izvršene u okviru preostalog radnog vremena koji su neposredno vezani sa poslovima izvedene </w:t>
      </w:r>
      <w:r w:rsidR="005F24BB">
        <w:rPr>
          <w:rFonts w:ascii="Tahoma" w:hAnsi="Tahoma" w:cs="Tahoma"/>
          <w:sz w:val="24"/>
          <w:szCs w:val="24"/>
        </w:rPr>
        <w:lastRenderedPageBreak/>
        <w:t xml:space="preserve">nastave u trajanju od 5 ( pet ) nastavnih časova preko 40-t0 radnog vremena za </w:t>
      </w:r>
      <w:r w:rsidR="007F390C">
        <w:rPr>
          <w:rFonts w:ascii="Tahoma" w:hAnsi="Tahoma" w:cs="Tahoma"/>
          <w:sz w:val="24"/>
          <w:szCs w:val="24"/>
        </w:rPr>
        <w:t>februar</w:t>
      </w:r>
      <w:r w:rsidR="005F24BB">
        <w:rPr>
          <w:rFonts w:ascii="Tahoma" w:hAnsi="Tahoma" w:cs="Tahoma"/>
          <w:sz w:val="24"/>
          <w:szCs w:val="24"/>
        </w:rPr>
        <w:t xml:space="preserve"> 2011. godine. Stoga, tužilac je namjerio da podnese tužbu protiv JU SMŠ “Mladost</w:t>
      </w:r>
      <w:proofErr w:type="gramStart"/>
      <w:r w:rsidR="005F24BB">
        <w:rPr>
          <w:rFonts w:ascii="Tahoma" w:hAnsi="Tahoma" w:cs="Tahoma"/>
          <w:sz w:val="24"/>
          <w:szCs w:val="24"/>
        </w:rPr>
        <w:t>“ Tivat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, nadležnom sudu ( shodno važećem Zakonu o radu CG ) , te su žaliocu sa tih razloga neophodne tražene informacije - dokazi zahtjevom UP </w:t>
      </w:r>
      <w:r w:rsidR="000F7DE1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7F390C">
        <w:rPr>
          <w:rFonts w:ascii="Tahoma" w:hAnsi="Tahoma" w:cs="Tahoma"/>
          <w:sz w:val="24"/>
          <w:szCs w:val="24"/>
        </w:rPr>
        <w:t>1767/1</w:t>
      </w:r>
      <w:r w:rsidR="005F24BB">
        <w:rPr>
          <w:rFonts w:ascii="Tahoma" w:hAnsi="Tahoma" w:cs="Tahoma"/>
          <w:sz w:val="24"/>
          <w:szCs w:val="24"/>
        </w:rPr>
        <w:t xml:space="preserve"> od 18.10.2017.geodine. Sve prethodno navedeno u ovoj žalbi ukazuje da je rešenje UP 1 </w:t>
      </w:r>
      <w:r w:rsidR="007F390C">
        <w:rPr>
          <w:rFonts w:ascii="Tahoma" w:hAnsi="Tahoma" w:cs="Tahoma"/>
          <w:sz w:val="24"/>
          <w:szCs w:val="24"/>
        </w:rPr>
        <w:t>1767/2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7F390C">
        <w:rPr>
          <w:rFonts w:ascii="Tahoma" w:hAnsi="Tahoma" w:cs="Tahoma"/>
          <w:sz w:val="24"/>
          <w:szCs w:val="24"/>
        </w:rPr>
        <w:t>1767/2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</w:t>
      </w:r>
      <w:r w:rsidR="000F7DE1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0F7DE1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7F390C">
        <w:rPr>
          <w:rFonts w:ascii="Tahoma" w:hAnsi="Tahoma" w:cs="Tahoma"/>
          <w:sz w:val="24"/>
          <w:szCs w:val="24"/>
        </w:rPr>
        <w:t>99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48259D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>se  dostavi  informacija shodno Opštem Zakonu o obrazovanju i vaspitanju CG o obimu preostalog radnog vremena</w:t>
      </w:r>
      <w:r w:rsidR="005F24BB" w:rsidRPr="002B44A6">
        <w:rPr>
          <w:rFonts w:ascii="Tahoma" w:hAnsi="Tahoma" w:cs="Tahoma"/>
          <w:sz w:val="24"/>
          <w:szCs w:val="24"/>
        </w:rPr>
        <w:t>,</w:t>
      </w:r>
      <w:r w:rsidR="005F24BB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radnog vremena za </w:t>
      </w:r>
      <w:r w:rsidR="007F390C">
        <w:rPr>
          <w:rFonts w:ascii="Tahoma" w:hAnsi="Tahoma" w:cs="Tahoma"/>
          <w:sz w:val="24"/>
          <w:szCs w:val="24"/>
        </w:rPr>
        <w:t>februar</w:t>
      </w:r>
      <w:r w:rsidR="005F24BB">
        <w:rPr>
          <w:rFonts w:ascii="Tahoma" w:hAnsi="Tahoma" w:cs="Tahoma"/>
          <w:sz w:val="24"/>
          <w:szCs w:val="24"/>
        </w:rPr>
        <w:t xml:space="preserve"> 2011.godine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7F390C">
        <w:rPr>
          <w:rFonts w:ascii="Tahoma" w:hAnsi="Tahoma" w:cs="Tahoma"/>
          <w:sz w:val="24"/>
          <w:szCs w:val="24"/>
        </w:rPr>
        <w:t>1767/2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Naime, Savjet Agencije je cijenio </w:t>
      </w:r>
      <w:r>
        <w:rPr>
          <w:rFonts w:ascii="Tahoma" w:hAnsi="Tahoma" w:cs="Tahoma"/>
          <w:sz w:val="24"/>
          <w:szCs w:val="24"/>
        </w:rPr>
        <w:lastRenderedPageBreak/>
        <w:t>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48259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48259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48259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48259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48259D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</w:t>
      </w:r>
      <w:r>
        <w:rPr>
          <w:rFonts w:ascii="Tahoma" w:hAnsi="Tahoma" w:cs="Tahoma"/>
          <w:sz w:val="24"/>
          <w:szCs w:val="24"/>
        </w:rPr>
        <w:lastRenderedPageBreak/>
        <w:t xml:space="preserve">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0F7DE1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0F7DE1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0F7DE1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0F7DE1" w:rsidRDefault="000F7DE1" w:rsidP="000F7DE1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0F7DE1" w:rsidRDefault="000F7DE1" w:rsidP="000F7DE1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0F7DE1" w:rsidRDefault="000F7DE1" w:rsidP="000F7DE1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0F7DE1" w:rsidRDefault="000F7DE1" w:rsidP="000F7DE1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0F7DE1" w:rsidRDefault="000F7DE1" w:rsidP="000F7DE1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0F7DE1" w:rsidRPr="0091003F" w:rsidRDefault="000F7DE1" w:rsidP="000F7DE1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sectPr w:rsidR="00F60BB7" w:rsidRPr="0091003F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BFE" w:rsidRDefault="00C61BFE" w:rsidP="00CB7F9A">
      <w:pPr>
        <w:spacing w:after="0" w:line="240" w:lineRule="auto"/>
      </w:pPr>
      <w:r>
        <w:separator/>
      </w:r>
    </w:p>
  </w:endnote>
  <w:endnote w:type="continuationSeparator" w:id="0">
    <w:p w:rsidR="00C61BFE" w:rsidRDefault="00C61BF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BFE" w:rsidRDefault="00C61BFE" w:rsidP="00CB7F9A">
      <w:pPr>
        <w:spacing w:after="0" w:line="240" w:lineRule="auto"/>
      </w:pPr>
      <w:r>
        <w:separator/>
      </w:r>
    </w:p>
  </w:footnote>
  <w:footnote w:type="continuationSeparator" w:id="0">
    <w:p w:rsidR="00C61BFE" w:rsidRDefault="00C61BFE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50E73"/>
    <w:rsid w:val="000516DD"/>
    <w:rsid w:val="00065AEA"/>
    <w:rsid w:val="00067C4C"/>
    <w:rsid w:val="00067F6A"/>
    <w:rsid w:val="00070BC2"/>
    <w:rsid w:val="00072AFB"/>
    <w:rsid w:val="00075B9A"/>
    <w:rsid w:val="00075DC5"/>
    <w:rsid w:val="00097025"/>
    <w:rsid w:val="00097C8C"/>
    <w:rsid w:val="000A2349"/>
    <w:rsid w:val="000C1122"/>
    <w:rsid w:val="000C6B8F"/>
    <w:rsid w:val="000D0F0B"/>
    <w:rsid w:val="000D182D"/>
    <w:rsid w:val="000D5AEF"/>
    <w:rsid w:val="000D662A"/>
    <w:rsid w:val="000F34E5"/>
    <w:rsid w:val="000F7DE1"/>
    <w:rsid w:val="00101F2C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11ED"/>
    <w:rsid w:val="00203295"/>
    <w:rsid w:val="00203703"/>
    <w:rsid w:val="002126EF"/>
    <w:rsid w:val="00217033"/>
    <w:rsid w:val="0022015F"/>
    <w:rsid w:val="002360F8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2F700D"/>
    <w:rsid w:val="00315297"/>
    <w:rsid w:val="00322987"/>
    <w:rsid w:val="003278FB"/>
    <w:rsid w:val="00336144"/>
    <w:rsid w:val="00337E9F"/>
    <w:rsid w:val="00340B4A"/>
    <w:rsid w:val="00341AC8"/>
    <w:rsid w:val="003505F4"/>
    <w:rsid w:val="00350827"/>
    <w:rsid w:val="00350892"/>
    <w:rsid w:val="003529EB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3754"/>
    <w:rsid w:val="0048259D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3C0D"/>
    <w:rsid w:val="004D4DF0"/>
    <w:rsid w:val="004E7F76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4B35"/>
    <w:rsid w:val="00566681"/>
    <w:rsid w:val="00570121"/>
    <w:rsid w:val="00575027"/>
    <w:rsid w:val="0057631C"/>
    <w:rsid w:val="005A1099"/>
    <w:rsid w:val="005A2424"/>
    <w:rsid w:val="005A7AD9"/>
    <w:rsid w:val="005B0C71"/>
    <w:rsid w:val="005B1A82"/>
    <w:rsid w:val="005B2AF2"/>
    <w:rsid w:val="005B3A7E"/>
    <w:rsid w:val="005C0717"/>
    <w:rsid w:val="005D1D01"/>
    <w:rsid w:val="005D3CAF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6CF9"/>
    <w:rsid w:val="00627024"/>
    <w:rsid w:val="006303BC"/>
    <w:rsid w:val="00641259"/>
    <w:rsid w:val="00641FD2"/>
    <w:rsid w:val="00642346"/>
    <w:rsid w:val="006454BD"/>
    <w:rsid w:val="006461E0"/>
    <w:rsid w:val="00653F54"/>
    <w:rsid w:val="00656E64"/>
    <w:rsid w:val="00661D8B"/>
    <w:rsid w:val="00664850"/>
    <w:rsid w:val="00675D80"/>
    <w:rsid w:val="00677FFC"/>
    <w:rsid w:val="006905F1"/>
    <w:rsid w:val="006933A6"/>
    <w:rsid w:val="006A13E7"/>
    <w:rsid w:val="006B083C"/>
    <w:rsid w:val="006C2D9B"/>
    <w:rsid w:val="006C6B47"/>
    <w:rsid w:val="006D2350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83CF1"/>
    <w:rsid w:val="00791727"/>
    <w:rsid w:val="00797F63"/>
    <w:rsid w:val="007A7AD4"/>
    <w:rsid w:val="007C3477"/>
    <w:rsid w:val="007C42EE"/>
    <w:rsid w:val="007E15F0"/>
    <w:rsid w:val="007E6697"/>
    <w:rsid w:val="007F390C"/>
    <w:rsid w:val="00804B4A"/>
    <w:rsid w:val="00811505"/>
    <w:rsid w:val="008123B6"/>
    <w:rsid w:val="00817D11"/>
    <w:rsid w:val="00825071"/>
    <w:rsid w:val="0083022B"/>
    <w:rsid w:val="0083529F"/>
    <w:rsid w:val="00835B33"/>
    <w:rsid w:val="008419BE"/>
    <w:rsid w:val="00841B90"/>
    <w:rsid w:val="00844AC5"/>
    <w:rsid w:val="008505DC"/>
    <w:rsid w:val="008513AF"/>
    <w:rsid w:val="008524A5"/>
    <w:rsid w:val="00857C27"/>
    <w:rsid w:val="008605EE"/>
    <w:rsid w:val="00862B6E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21F1C"/>
    <w:rsid w:val="009222D1"/>
    <w:rsid w:val="009329E1"/>
    <w:rsid w:val="009355B6"/>
    <w:rsid w:val="00937EDC"/>
    <w:rsid w:val="00942D27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E109D"/>
    <w:rsid w:val="009E35AF"/>
    <w:rsid w:val="009E4E7A"/>
    <w:rsid w:val="009F7809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D08FD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6745"/>
    <w:rsid w:val="00BD10BD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1BFE"/>
    <w:rsid w:val="00C625CE"/>
    <w:rsid w:val="00C67FDB"/>
    <w:rsid w:val="00C800C6"/>
    <w:rsid w:val="00C9527E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D0072E"/>
    <w:rsid w:val="00D06DDB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76875"/>
    <w:rsid w:val="00D8245D"/>
    <w:rsid w:val="00D8262A"/>
    <w:rsid w:val="00D833D1"/>
    <w:rsid w:val="00D83A98"/>
    <w:rsid w:val="00D92698"/>
    <w:rsid w:val="00DA0A90"/>
    <w:rsid w:val="00DA5B0D"/>
    <w:rsid w:val="00DA7867"/>
    <w:rsid w:val="00DC1A1D"/>
    <w:rsid w:val="00DC1EFC"/>
    <w:rsid w:val="00DC5F09"/>
    <w:rsid w:val="00DC74EB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5636"/>
    <w:rsid w:val="00FB2EE2"/>
    <w:rsid w:val="00FB30D3"/>
    <w:rsid w:val="00FC3BBA"/>
    <w:rsid w:val="00FC4D6E"/>
    <w:rsid w:val="00FC59FD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07D882D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98F920-7E22-4C1B-A530-89CF29401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2426</Words>
  <Characters>13829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7</cp:revision>
  <cp:lastPrinted>2018-04-25T07:16:00Z</cp:lastPrinted>
  <dcterms:created xsi:type="dcterms:W3CDTF">2018-04-24T07:20:00Z</dcterms:created>
  <dcterms:modified xsi:type="dcterms:W3CDTF">2018-10-08T07:54:00Z</dcterms:modified>
</cp:coreProperties>
</file>